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3C" w:rsidRPr="002C043C" w:rsidRDefault="002C043C" w:rsidP="002C043C">
      <w:pPr>
        <w:spacing w:before="180" w:after="180" w:line="360" w:lineRule="atLeast"/>
        <w:rPr>
          <w:rFonts w:ascii="Helvetica" w:eastAsia="Times New Roman" w:hAnsi="Helvetica" w:cs="Times New Roman"/>
          <w:sz w:val="21"/>
          <w:szCs w:val="21"/>
          <w:lang w:val="en"/>
        </w:rPr>
      </w:pP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3886"/>
      </w:tblGrid>
      <w:tr w:rsidR="002C043C" w:rsidRPr="002C043C" w:rsidTr="002C04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b/>
                <w:bCs/>
                <w:sz w:val="21"/>
                <w:szCs w:val="21"/>
              </w:rPr>
              <w:t>Table</w:t>
            </w:r>
            <w:r>
              <w:rPr>
                <w:rFonts w:ascii="Helvetica" w:eastAsia="Times New Roman" w:hAnsi="Helvetica" w:cs="Times New Roman"/>
                <w:b/>
                <w:bCs/>
                <w:sz w:val="21"/>
                <w:szCs w:val="21"/>
              </w:rPr>
              <w:t>:</w:t>
            </w:r>
            <w:bookmarkStart w:id="0" w:name="_GoBack"/>
            <w:bookmarkEnd w:id="0"/>
            <w:r w:rsidRPr="002C043C">
              <w:rPr>
                <w:rFonts w:ascii="Helvetica" w:eastAsia="Times New Roman" w:hAnsi="Helvetica" w:cs="Times New Roman"/>
                <w:b/>
                <w:bCs/>
                <w:sz w:val="21"/>
                <w:szCs w:val="21"/>
              </w:rPr>
              <w:t xml:space="preserve">  Estimated Price </w:t>
            </w:r>
            <w:proofErr w:type="spellStart"/>
            <w:r w:rsidRPr="002C043C">
              <w:rPr>
                <w:rFonts w:ascii="Helvetica" w:eastAsia="Times New Roman" w:hAnsi="Helvetica" w:cs="Times New Roman"/>
                <w:b/>
                <w:bCs/>
                <w:sz w:val="21"/>
                <w:szCs w:val="21"/>
              </w:rPr>
              <w:t>Elasticities</w:t>
            </w:r>
            <w:proofErr w:type="spellEnd"/>
            <w:r w:rsidRPr="002C043C">
              <w:rPr>
                <w:rFonts w:ascii="Helvetica" w:eastAsia="Times New Roman" w:hAnsi="Helvetica" w:cs="Times New Roman"/>
                <w:b/>
                <w:bCs/>
                <w:sz w:val="21"/>
                <w:szCs w:val="21"/>
              </w:rPr>
              <w:t xml:space="preserve"> of Demand for Various Goods and Services</w:t>
            </w: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b/>
                <w:bCs/>
                <w:sz w:val="21"/>
                <w:szCs w:val="21"/>
              </w:rPr>
              <w:t>Goods</w:t>
            </w: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b/>
                <w:bCs/>
                <w:sz w:val="21"/>
                <w:szCs w:val="21"/>
              </w:rPr>
              <w:t>Estimated Elasticity of Demand</w:t>
            </w: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</w:p>
        </w:tc>
      </w:tr>
      <w:tr w:rsidR="002C043C" w:rsidRPr="002C043C" w:rsidTr="002C043C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99CCFF"/>
            <w:vAlign w:val="center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b/>
                <w:bCs/>
                <w:i/>
                <w:iCs/>
                <w:sz w:val="21"/>
                <w:szCs w:val="21"/>
              </w:rPr>
              <w:t>Inelastic</w:t>
            </w: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99CCFF"/>
            <w:vAlign w:val="center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0.1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Matches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0.1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Toothpicks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0.1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Airline travel,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0.1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Gasoline,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0.2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Gasoline, long-run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0.7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Residential natural gas,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0.1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Residential natural gas, long-run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0.5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Coffee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0.25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Fish (cod) consumed at home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0.5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Tobacco products,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0.45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Legal services,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0.4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Physician services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0.6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lastRenderedPageBreak/>
              <w:t xml:space="preserve">Taxi,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0.6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Automobiles, long-run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0.2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99CCFF"/>
            <w:vAlign w:val="center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b/>
                <w:bCs/>
                <w:i/>
                <w:iCs/>
                <w:sz w:val="21"/>
                <w:szCs w:val="21"/>
              </w:rPr>
              <w:t>Approximately Unitary Elasticity</w:t>
            </w: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99CCFF"/>
            <w:vAlign w:val="center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Movies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0.9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Housing, owner occupied, long-run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1.2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Shellfish, consumed at home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0.9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Oysters, consumed at home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1.1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Private education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1.1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Tires,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0.9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Tires, long-run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1.2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Radio and television receivers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1.2 </w:t>
            </w:r>
          </w:p>
        </w:tc>
      </w:tr>
      <w:tr w:rsidR="002C043C" w:rsidRPr="002C043C" w:rsidTr="002C043C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99CCFF"/>
            <w:vAlign w:val="center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b/>
                <w:bCs/>
                <w:i/>
                <w:iCs/>
                <w:sz w:val="21"/>
                <w:szCs w:val="21"/>
              </w:rPr>
              <w:t>Elastic</w:t>
            </w: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99CCFF"/>
            <w:vAlign w:val="center"/>
            <w:hideMark/>
          </w:tcPr>
          <w:p w:rsidR="002C043C" w:rsidRPr="002C043C" w:rsidRDefault="002C043C" w:rsidP="002C043C">
            <w:pPr>
              <w:spacing w:after="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Restaurant meals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2.3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Foreign travel, long-run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4.0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Airline travel, long-run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2.4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Fresh green peas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2.8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Automobiles, short-run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1.2 - 1.5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lastRenderedPageBreak/>
              <w:t xml:space="preserve">Chevrolet automobiles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4.0 </w:t>
            </w:r>
          </w:p>
        </w:tc>
      </w:tr>
      <w:tr w:rsidR="002C043C" w:rsidRPr="002C043C" w:rsidTr="002C043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Fresh tomatoes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2C043C" w:rsidRPr="002C043C" w:rsidRDefault="002C043C" w:rsidP="002C043C">
            <w:pPr>
              <w:spacing w:before="180" w:after="180" w:line="360" w:lineRule="atLeast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2C043C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4.6 </w:t>
            </w:r>
          </w:p>
        </w:tc>
      </w:tr>
    </w:tbl>
    <w:p w:rsidR="002C043C" w:rsidRPr="002C043C" w:rsidRDefault="002C043C" w:rsidP="002C043C">
      <w:pPr>
        <w:spacing w:line="360" w:lineRule="atLeast"/>
        <w:rPr>
          <w:rFonts w:ascii="Helvetica" w:eastAsia="Times New Roman" w:hAnsi="Helvetica" w:cs="Times New Roman"/>
          <w:sz w:val="21"/>
          <w:szCs w:val="21"/>
          <w:lang w:val="en"/>
        </w:rPr>
      </w:pPr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Source: </w:t>
      </w:r>
      <w:r w:rsidRPr="002C043C">
        <w:rPr>
          <w:rFonts w:ascii="Helvetica" w:eastAsia="Times New Roman" w:hAnsi="Helvetica" w:cs="Times New Roman"/>
          <w:i/>
          <w:iCs/>
          <w:sz w:val="21"/>
          <w:szCs w:val="21"/>
          <w:lang w:val="en"/>
        </w:rPr>
        <w:t>Economics: Private and Public Choice</w:t>
      </w:r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, James D. </w:t>
      </w:r>
      <w:proofErr w:type="spellStart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>Gwartney</w:t>
      </w:r>
      <w:proofErr w:type="spellEnd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 and Richard L. Stroup, eighth edition 1997, seventh edition 1995; primary sources: </w:t>
      </w:r>
      <w:proofErr w:type="spellStart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>Hendrick</w:t>
      </w:r>
      <w:proofErr w:type="spellEnd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 S. </w:t>
      </w:r>
      <w:proofErr w:type="spellStart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>Houthakker</w:t>
      </w:r>
      <w:proofErr w:type="spellEnd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 and Lester D. Taylor, </w:t>
      </w:r>
      <w:r w:rsidRPr="002C043C">
        <w:rPr>
          <w:rFonts w:ascii="Helvetica" w:eastAsia="Times New Roman" w:hAnsi="Helvetica" w:cs="Times New Roman"/>
          <w:i/>
          <w:iCs/>
          <w:sz w:val="21"/>
          <w:szCs w:val="21"/>
          <w:lang w:val="en"/>
        </w:rPr>
        <w:t>Consumer Demand in the United States</w:t>
      </w:r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, 1929-1970 (Cambridge: Harvard University Press, 1966,1970); Douglas R. </w:t>
      </w:r>
      <w:proofErr w:type="spellStart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>Bohi</w:t>
      </w:r>
      <w:proofErr w:type="spellEnd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, </w:t>
      </w:r>
      <w:r w:rsidRPr="002C043C">
        <w:rPr>
          <w:rFonts w:ascii="Helvetica" w:eastAsia="Times New Roman" w:hAnsi="Helvetica" w:cs="Times New Roman"/>
          <w:i/>
          <w:iCs/>
          <w:sz w:val="21"/>
          <w:szCs w:val="21"/>
          <w:lang w:val="en"/>
        </w:rPr>
        <w:t>Analyzing Demand Behavior</w:t>
      </w:r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 (Baltimore: Johns Hopkins University Press, 1981); </w:t>
      </w:r>
      <w:proofErr w:type="spellStart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>Hsaing</w:t>
      </w:r>
      <w:proofErr w:type="spellEnd"/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-tai Cheng and Oral Capps, Jr., "Demand for Fish" </w:t>
      </w:r>
      <w:r w:rsidRPr="002C043C">
        <w:rPr>
          <w:rFonts w:ascii="Helvetica" w:eastAsia="Times New Roman" w:hAnsi="Helvetica" w:cs="Times New Roman"/>
          <w:i/>
          <w:iCs/>
          <w:sz w:val="21"/>
          <w:szCs w:val="21"/>
          <w:lang w:val="en"/>
        </w:rPr>
        <w:t>American Journal of Agricultural Economics</w:t>
      </w:r>
      <w:r w:rsidRPr="002C043C">
        <w:rPr>
          <w:rFonts w:ascii="Helvetica" w:eastAsia="Times New Roman" w:hAnsi="Helvetica" w:cs="Times New Roman"/>
          <w:sz w:val="21"/>
          <w:szCs w:val="21"/>
          <w:lang w:val="en"/>
        </w:rPr>
        <w:t xml:space="preserve">, August 1988; and U.S. Department of Agriculture. </w:t>
      </w:r>
    </w:p>
    <w:p w:rsidR="00BC47C7" w:rsidRDefault="00BC47C7"/>
    <w:sectPr w:rsidR="00BC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3C"/>
    <w:rsid w:val="002C043C"/>
    <w:rsid w:val="00B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23A5-C557-413F-8FC6-4F02D6E4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043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2427">
                                          <w:blockQuote w:val="1"/>
                                          <w:marLeft w:val="300"/>
                                          <w:marRight w:val="30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Michelfelder</dc:creator>
  <cp:keywords/>
  <dc:description/>
  <cp:lastModifiedBy>Dr. Michelfelder</cp:lastModifiedBy>
  <cp:revision>1</cp:revision>
  <dcterms:created xsi:type="dcterms:W3CDTF">2014-02-19T19:47:00Z</dcterms:created>
  <dcterms:modified xsi:type="dcterms:W3CDTF">2014-02-19T19:48:00Z</dcterms:modified>
</cp:coreProperties>
</file>